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of cases resolved within 3 days.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 notes, and corrective actions, ensuring 100% compliance with audit requirements.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