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root cause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with 99% compliance with review guidelines.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