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0" w:before="20"/>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spacing w:before="20" w:after="0"/>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42" w:after="0"/>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after="0"/>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after="0"/>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20" w:after="0"/>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after="0"/>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5" w:after="5"/>
      </w:pPr>
    </w:p>
    <w:p w14:paraId="22436430" w14:textId="4A43ED2B" w:rsidR="00F85316" w:rsidRDefault="005868FF">
      <w:pPr>
        <w:pBdr>
          <w:bottom w:val="single" w:sz="6" w:space="1" w:color="000000"/>
        </w:pBdr>
        <w:spacing w:before="42" w:after="0"/>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20" w:after="0"/>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after="0"/>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Triaged 50+ weekly inventory reimbursement cases by severity and policy eligibility, identifying high-risk cases for senior reviewer escalation.</w:t>
      </w:r>
    </w:p>
    <w:p w14:paraId="2386282C"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Investigated seller claims, analyzing policy violations and anomalous patterns to inform decision-making.</w:t>
      </w:r>
    </w:p>
    <w:p w14:paraId="6CBFEBBC"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Analyzed 200+ weekly cases to detect recurring fraud patterns, reducing repeat-issue investigation time before escalation.</w:t>
      </w:r>
    </w:p>
    <w:p w14:paraId="5E4555B2"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Documented investigation findings, decisions, evidence notes, and corrective actions in audit-ready case records.</w:t>
      </w:r>
    </w:p>
    <w:p w14:paraId="37136F35" w14:textId="77777777" w:rsidR="005868FF" w:rsidRDefault="005868FF">
      <w:pPr>
        <w:pBdr>
          <w:bottom w:val="single" w:sz="6" w:space="1" w:color="000000"/>
        </w:pBdr>
        <w:spacing w:before="5" w:after="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42" w:after="0"/>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20" w:after="0"/>
      </w:pPr>
      <w:hyperlink r:id="rId8">
        <w:r>
          <w:rPr>
            <w:rFonts w:ascii="Source Sans Pro" w:eastAsia="Source Sans Pro" w:hAnsi="Source Sans Pro" w:cs="Source Sans Pro"/>
            <w:b/>
            <w:color w:val="000000"/>
            <w:sz w:val="19"/>
            <w:szCs w:val="19"/>
            <w:u w:val="single"/>
          </w:rPr>
          <w:t>Phishing and OSINT Threat Intelligence Tool</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VirusTotal API, AbuseIPDB, WHOIS, Telegram bot</w:t>
      </w:r>
    </w:p>
    <w:p w14:paraId="51F80E9A"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Developed multi-API threat intelligence pipeline in Python, submitting suspicious URLs/IPs to VirusTotal, AbuseIPDB, and URLScan.io, and cross-referencing WHOIS registration age, DNS records, and SSL details for phishing analysis.</w:t>
      </w:r>
    </w:p>
    <w:p w14:paraId="3454FF97"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Implemented typosquatting (brand impersonation detection) domain detector in Python, generating character-substitution variants of brand domains and checking live DNS resolution for brand-impersonation analysis.</w:t>
      </w:r>
    </w:p>
    <w:p w14:paraId="3BDE0EEF"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Deployed Telegram bot interface in Python, enabling analysts to submit URLs for live IOC enrichment (threat intelligence), supporting bulk CSV input/output for incident response workflows, and including OSINT enrichment (open-source intelligence) via theHarvester for domain profiling.</w:t>
      </w:r>
    </w:p>
    <w:p w14:paraId="50EFC0D0" w14:textId="77777777" w:rsidR="00F85316" w:rsidRDefault="00F85316">
      <w:pPr>
        <w:spacing w:before="5" w:after="5"/>
      </w:pPr>
    </w:p>
    <w:p w14:paraId="18C4CB2C" w14:textId="77777777" w:rsidR="00F85316" w:rsidRDefault="00F85316">
      <w:pPr>
        <w:tabs>
          <w:tab w:val="right" w:pos="10800"/>
        </w:tabs>
        <w:spacing w:before="30" w:after="0"/>
      </w:pPr>
      <w:hyperlink r:id="rId9">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0B32822"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Built automated vulnerability assessment pipeline in Python, integrating Nessus and OpenVAS REST APIs, and generating CVE reports classified by CVSS severity (vulnerability prioritisation) and EPSS context from the FIRST.org API.</w:t>
      </w:r>
    </w:p>
    <w:p w14:paraId="04176F54"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Developed OWASP Top 10 (web application security) automated web checker in Python, sending crafted HTTP requests to detect injection, broken auth, and SSRF vulnerabilities, and documenting SQL injection exploit and parameterised query remediation.</w:t>
      </w:r>
    </w:p>
    <w:p w14:paraId="24F5657B"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(remediation tracking) tracking evidence.</w:t>
      </w:r>
    </w:p>
    <w:p w14:paraId="0240B124" w14:textId="77777777" w:rsidR="005868FF" w:rsidRDefault="005868FF">
      <w:pPr>
        <w:pBdr>
          <w:bottom w:val="single" w:sz="6" w:space="1" w:color="000000"/>
        </w:pBdr>
        <w:spacing w:before="5" w:after="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42" w:after="0"/>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9" w:after="29"/>
      </w:pPr>
      <w:r>
        <w:rPr>
          <w:rFonts w:ascii="Source Sans Pro" w:eastAsia="Source Sans Pro" w:hAnsi="Source Sans Pro" w:cs="Source Sans Pro"/>
          <w:b/>
          <w:sz w:val="19"/>
          <w:szCs w:val="19"/>
        </w:rPr>
        <w:t xml:space="preserve">GRC &amp; Compliance: </w:t>
      </w:r>
      <w:r>
        <w:rPr>
          <w:rFonts w:ascii="Source Sans Pro" w:eastAsia="Source Sans Pro" w:hAnsi="Source Sans Pro" w:cs="Source Sans Pro"/>
          <w:sz w:val="19"/>
          <w:szCs w:val="19"/>
        </w:rPr>
        <w:t>NIST CSF, ISO 27001, PCI-DSS, GDPR/PDPB, SOX/ITGC, compliance monitoring</w:t>
      </w:r>
    </w:p>
    <w:p w14:paraId="7542F506" w14:textId="77777777" w:rsidR="00F85316" w:rsidRDefault="00000000">
      <w:pPr>
        <w:spacing w:before="29" w:after="29"/>
      </w:pPr>
      <w:r>
        <w:rPr>
          <w:rFonts w:ascii="Source Sans Pro" w:eastAsia="Source Sans Pro" w:hAnsi="Source Sans Pro" w:cs="Source Sans Pro"/>
          <w:b/>
          <w:sz w:val="19"/>
          <w:szCs w:val="19"/>
        </w:rPr>
        <w:t xml:space="preserve">Risk &amp; Audit: </w:t>
      </w:r>
      <w:r>
        <w:rPr>
          <w:rFonts w:ascii="Source Sans Pro" w:eastAsia="Source Sans Pro" w:hAnsi="Source Sans Pro" w:cs="Source Sans Pro"/>
          <w:sz w:val="19"/>
          <w:szCs w:val="19"/>
        </w:rPr>
        <w:t>Risk assessment, control testing, audit documentation, vendor risk, RCSA basics</w:t>
      </w:r>
    </w:p>
    <w:p w14:paraId="24BEE31D" w14:textId="77777777" w:rsidR="00F85316" w:rsidRDefault="00000000">
      <w:pPr>
        <w:spacing w:before="29" w:after="29"/>
      </w:pPr>
      <w:r>
        <w:rPr>
          <w:rFonts w:ascii="Source Sans Pro" w:eastAsia="Source Sans Pro" w:hAnsi="Source Sans Pro" w:cs="Source Sans Pro"/>
          <w:b/>
          <w:sz w:val="19"/>
          <w:szCs w:val="19"/>
        </w:rPr>
        <w:t xml:space="preserve">Fraud &amp; AML: </w:t>
      </w:r>
      <w:r>
        <w:rPr>
          <w:rFonts w:ascii="Source Sans Pro" w:eastAsia="Source Sans Pro" w:hAnsi="Source Sans Pro" w:cs="Source Sans Pro"/>
          <w:sz w:val="19"/>
          <w:szCs w:val="19"/>
        </w:rPr>
        <w:t>Transaction monitoring, AML typologies, KYC/CDD, sanctions screening</w:t>
      </w:r>
    </w:p>
    <w:p w14:paraId="4A1B93A5" w14:textId="77777777" w:rsidR="00F85316" w:rsidRDefault="00000000">
      <w:pPr>
        <w:spacing w:before="29" w:after="29"/>
      </w:pPr>
      <w:r>
        <w:rPr>
          <w:rFonts w:ascii="Source Sans Pro" w:eastAsia="Source Sans Pro" w:hAnsi="Source Sans Pro" w:cs="Source Sans Pro"/>
          <w:b/>
          <w:sz w:val="19"/>
          <w:szCs w:val="19"/>
        </w:rPr>
        <w:t xml:space="preserve">Systems &amp; Tools: </w:t>
      </w:r>
      <w:r>
        <w:rPr>
          <w:rFonts w:ascii="Source Sans Pro" w:eastAsia="Source Sans Pro" w:hAnsi="Source Sans Pro" w:cs="Source Sans Pro"/>
          <w:sz w:val="19"/>
          <w:szCs w:val="19"/>
        </w:rPr>
        <w:t>Windows internals, Linux fundamentals, Python, Excel, SQL (basic), TCP/IP basics</w:t>
      </w:r>
    </w:p>
    <w:p w14:paraId="1EFBFF0E" w14:textId="77777777" w:rsidR="00F85316" w:rsidRDefault="00000000">
      <w:pPr>
        <w:spacing w:before="29" w:after="29"/>
      </w:pPr>
      <w:r>
        <w:rPr>
          <w:rFonts w:ascii="Source Sans Pro" w:eastAsia="Source Sans Pro" w:hAnsi="Source Sans Pro" w:cs="Source Sans Pro"/>
          <w:b/>
          <w:sz w:val="19"/>
          <w:szCs w:val="19"/>
        </w:rPr>
        <w:t xml:space="preserve">Frameworks: </w:t>
      </w:r>
      <w:r>
        <w:rPr>
          <w:rFonts w:ascii="Source Sans Pro" w:eastAsia="Source Sans Pro" w:hAnsi="Source Sans Pro" w:cs="Source Sans Pro"/>
          <w:sz w:val="19"/>
          <w:szCs w:val="19"/>
        </w:rPr>
        <w:t>MITRE ATT&amp;CK, OWASP Top 10, Incident Response (PICERL), audit trail documentation</w:t>
      </w:r>
    </w:p>
    <w:p w14:paraId="7AF39A30" w14:textId="77777777" w:rsidR="005868FF" w:rsidRDefault="005868FF">
      <w:pPr>
        <w:pBdr>
          <w:bottom w:val="single" w:sz="6" w:space="1" w:color="000000"/>
        </w:pBdr>
        <w:spacing w:before="5" w:after="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42" w:after="0"/>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8"/>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