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cases by severity and policy eligibility, ensuring compliance monitoring and risk compliance capital metrics.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escalated findings to senior reviewers for risk compliance india.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 and evidence notes for compliance capital markets.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cases, reducing repeat-issue investigation time for markets risk compliance.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Created audit trails with decision notes and corrective actions for compliance monitoring (regulatory compliance) in capital markets risk compliance, resulting in comprehensive documentation.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control evidence and compliance tracking for risk compliance capital, with a focus on markets risk compliance and regedge capital markets, leading to detailed control gap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 detection pipeline using Splunk SIEM and MITRE ATT&amp;CK (TTP mapping) mapping for anomaly detection at scale, with a focus on pattern recognition and early escalation in risk compliance india.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Generated audit-ready CVE reports for compliance capital markets, with CVSS severity (vulnerability prioritisation) classification and EPSS context from the FIRST.org API, supporting risk identification and control gap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compliance scan scheduling and delta-scan logic to track remediation progress, with a focus on policy-based risk triage and escalation priorities in risk compliance regedge.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Created vulnerability-to-remediation audit trails, including SQL injection evidence and parameterised query fixes, for compliance monitoring (regulatory compliance) and risk compliance capital in regedge capital markets.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Compliance Monitoring: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Compliance: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Capital Markets Risk: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Network Traffic Analysis: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Compliance Documentation: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compliance capital markets, risk compliance capital, capital markets risk, regedge capital markets, wireshark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