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 50+ weekly seller investigation cases using severity-based classification and structured alert logic to escalate high-risk cases.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anomalous seller claim patterns, documenting findings with evidence and escalating systemic issues.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records with evidence chain-of-custody, documenting investigation steps, policy decisions, and corrective actions.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detection pipeline: ingests Splunk alerts, enriches with VirusTotal API,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brand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