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cases by severity and policy eligibility, ensuring compliance tracking and control evidence.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identifying policy violations and anomalous patterns, with findings escalated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for compliance monitoring (regulatory compliance) and control mapping, resulting in a comprehensive audit-ready documentation.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 for threat detection (anomaly detection), utilizing MITRE ATT&amp;CK mapping and Sigma rules for control validation.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Mapped TTPs to MITRE ATT&amp;CK (TTP mapping) for control mapping and wrote PICERL incident report, ensuring evidence completeness.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compliance checker for regulatory compliance, generating audit-ready evidence and compliance tracking.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compliance scan scheduling via Bash and cron, resulting in a delta-scan logic for remediation tracking and audit evidence organization.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APIs, producing CVSS severity (vulnerability prioritisation) classified reports with EPSS context.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Security: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Audit and Risk: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Detection: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Regulatory Compliance: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zero trust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