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adhering to structured case triage discipline, with 90% of cases resolved within 24 hours.</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Conducted root cause analysis on seller claims, identified policy violations and anomalous patterns, and escalated findings to senior reviewers, reducing repeat-issue investigation time by 30%.</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with 100% of case files meeting compliance standards.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Spotted recurring fraud patterns across 200+ weekly cases and flagged them early, reducing repeat-issue investigation time before escalation by 25%.</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