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and implemented data governance policies and procedures to ensure compliance with regulatory requirements in Bengaluru, India.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data anomalies to identify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documentation recording investigation findings, decisions, and corrective actions, establishing the evidence chain-of-custody discipline required for data governance.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brand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