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risk prioritization and compliance tracking.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notes, maintaining control evidence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demonstrating risk prioritization and SLA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Operations Analyst, Financial Crimes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submitting suspicious URLs/IPs to VirusTotal, AbuseIPDB, and URLScan.io, cross-referencing WHOIS, DNS, and SSL data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detection capabilities using a domain detector that generates brand domain variants and checks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IOC enrichment, bulk CSV input/output,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Operations Analyst, Financial Crimes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classifying CVEs by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 and parameterised query best practices.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and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