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accuracy.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with 95% escalation accuracy.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reducing repeat-issue investigation time by 30%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including investigation findings, decisions, evidence notes, and corrective actions, with 99% compliance.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Python; generated CVE reports classified by CVSS severity (vulnerability prioritisation)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OWASP Top 10 (web application security)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