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applying triage discipline to prioritize high-risk cases for senior reviewer escalation.</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identifying policy violations and anomalous patterns through root cause analysis, and escalated findings to senior reviewers for timely decision-making.</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Detected recurring fraud patterns across 200+ weekly cases, flagging them early to reduce repeat-issue investigation time and inform risk prioritization for senior reviewers.</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Nessus and OpenVAS.</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