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resolution of high-priority cases.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improved case resolution efficiency.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before escalation and minimizing financial losses.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 in case resolution processes.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TTPs,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 IOC data, and dispatching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enhancing SOC efficiency;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