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compliance with established policies and procedures.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notes, maintaining control evidence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multi-source risk assessment pipeline: submits domains and IPs to VirusTotal, AbuseIPDB, and URLScan.io, cross-referencing WHOIS, DNS, and SSL certificate data for third-party due diligence and threat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domain reputation assessment tool detecting typosquatting variants and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domain profiling.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APIs in Python to generate audit-ready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 security controls against regulatory requirements, documenting vulnerability-to-remediation audit trails with SQL injection evidence and parameterised query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