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IAM compliance and access governance; escalated findings to senior reviewers for corrective actions.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related to IAM access governance; escalated findings to senior reviewers for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related to IAM access governance and eligibility validation.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reducing repeat-issue investigation time before escalation and improving IAM access governance and control gaps.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Sigma rules from detection logic;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Access, Management,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