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95% of cases resolved within SLA.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prevent repeat issues, and maintaining a 99% accuracy rate in identifying policy violations.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actions, ensuring compliance tracking and decision trails for 100% of cases.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VirusTotal API, AbuseIPDB, and WHOIS to analyze brand-impersonation via live DNS resolution and character-substitution variants.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 and Telegram bot, enabling analysts to submit URLs for IOC enrichment, supporting CSV input/output for incident response and OSINT enrichment via theHarvester.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Python, integrating Nessus and OpenVAS REST APIs, and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built delta-scan logic to flag new CVEs and track patch compliance with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