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anomalies for faster investigation.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 for policy violations, applying pattern recognition to suspicious reimbursements.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weekly case queues to identify anomaly trends and escalate repeat issues before payout decisions.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 and decisions to support transaction case review and escalation.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Incident Response, Access Control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