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with established policies.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flagging them early to reduce repeat-issue investigation time before escalation, resulting in improved case efficiency.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actions, maintaining a clear and transparent decision trail for compliance tracking.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and Threat Intelligence Tool Development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WHOIS, generating domain variants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and Vulnerability Management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and Bash, detecting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 CVEs with Python,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