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triage and escalation workflows, producing a daily case‑prioritization log.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root‑cause analysis on seller claims, identified policy violations and anomalous patterns, and escalated findings to senior reviewers, generating a weekly escalation summary.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audit‑ready documentation of investigation findings, decisions, evidence notes, and corrective actions for each case, creating a searchable case‑history repository.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cases, flagged them early, and reduced repeat‑issue investigation time before escalation, delivering a weekly pattern‑alert bulletin.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runs IOC enrichment via VirusTotal API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SOC use and performed TCP/IP analysis in Wireshark to detect SYN scans, DNS tunnelling and plaintext credential exposure on unencrypted sessions, producing exposure findings.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 and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 and SSRF vulnerabilities and documented SQL injection exploit and parameterised query remediation in a technical guide.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 and built delta-scan logic to flag newly discovered CVEs and organize patch compliance tracking evidence in a centralized repository.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