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triage, escalation, and decision workflows, achieving consistent case‑flow throughput</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Conducted root‑cause analysis on seller claims, identified policy violations and anomalous patterns, and escalated findings to senior reviewers for risk assessment</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capturing investigation findings, decisions, evidence notes, and corrective actions, supporting compliance review repository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that submits suspicious URLs and 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that enables analysts to submit URLs for live IOC enrichment and supports bulk CSV input and output for incident response workflows and includes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that integrates Nessus and OpenVAS REST APIs in Python and generates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authentication and SSRF vulnerabilities and documents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and built delta-scan logic to flag newly discovered CVEs and organize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