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decision-making.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driving informed decision-making.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actions, maintaining audit-ready case records.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flagging them early, reducing repeat-issue investigation time before escalation, and minimizing financial risk.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 and parameterised query best practices.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in vendor-neutral format;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