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driving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flagged them early, and reduced repeat-issue investigation time before escalation, demonstrating proactive risk mitigation.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transparent and accountable case management and decision-making processes.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