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 to support Risk Management and Compliance.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patterns; escalated findings to senior reviewers to inform Fraud Detection and Transaction Monitoring.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corrective actions, and evidence notes to support Data Analysis and Predictive Modeling.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 to enhance Anomaly Detection and Risk Management.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 to catch brand-impersonation attacks early.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