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causes and policy violations to inform senior reviewer decisions.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reducing repeat-issue investigation time.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URLScan.io, cross-referencing WHOIS, DNS,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