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security principles for compliance.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identified policy violations and anomalous patterns, and escalated findings to senior reviewers, demonstrating data encryption and access control best practices.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documentation, recording investigation findings, decisions, evidence, and corrective actions to mitigate repeat-issue investigation time.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in 200+ weekly cases, reducing repeat-issue investigation time through early flagging and applying cybersecurity principles to prevent financial loss.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deadlines (Critical=24hrs, High=7 days, Medium=30 days).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Sigma rules from detection logic; analyzed TCP/IP traffic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access control, compliance, aws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