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risk assessments and data analysis to identify potential policy violations and anomalous patterns, and escalated findings to senior reviewers.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patterns, and demonstrated investigative instincts central to risk management and compliance.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actions, and ensured evidence chain-of-custody discipline for regulatory compliance.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URLScan.io, and cross-references WHOIS, DNS, and SSL details for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flagging newly discovered CVEs with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