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resulting in timely escalation and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with 200+ weekly cases reviewed for recurring fraud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