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applying structured workflows for timely decision-making and efficient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identified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cases, spotting recurring fraud patterns, flagging early, and reducing repeat-issue investigation time through enhanced audit-ready case documentation.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evidence, and corrective actions for compliance tracking and decision trails.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