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resolution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accurate case decisions.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flagged them early, and reduced repeat-issue investigation time before escalation by 30%.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100% compliance with review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