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efficient issue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outcomes and reduced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records, ensuring transparency and accountability.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