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achieving consistent case routing.</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producing detailed escalation reports.</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audit‑ready case files with investigation findings, evidence notes, and corrective actions, maintaining compliance records for 50+ weekly cases.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flagging them early and reducing repeat‑issue investigation time before escalation, establishing a pattern‑alert process.</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Splunk SIEM with SPL correlation searches for brute-force detection, lateral movement and privilege escalation; mapped TTPs to MITRE ATT&amp;CK and authored a PICERL incident report.</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an automated detection pipeline where a Python script ingests Splunk alerts, enriches IOCs via the VirusTotal API and dispatches Telegram notifications with severity classification.</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Converted detection logic to Sigma rules for vendor-neutral use and performed TCP/IP analysis in Wireshark to identify SYN scans, DNS tunnelling and plaintext credential exposure on unencrypted sessions.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Created an automated vulnerability assessment pipeline that integrates Nessus and OpenVAS REST APIs in Python, generating CVE reports classified by CVSS severity and enriched with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an OWASP Top 10 web checker that sends crafted HTTP requests to detect injection, broken authentication and SSRF vulnerabilities; documented a SQL injection exploit and produced remediation documentation.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using Bash and cron, implementing delta-scan logic to flag newly discovered CVEs and compile patch compliance tracking evidence.</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27" w:after="27"/>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27" w:after="27"/>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27" w:after="27"/>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