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resulting in timely resolution of high-priority issues.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 that informed data-driven decision-making.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through proactive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files, ensuring transparency and accountability.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