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compliance with LSEG's data security policies.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Performed root cause analysis on seller claims to identify policy violations and anomalous patterns, demonstrating investigative instincts central to risk management and data security.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 for incident reporting.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(T1110, T1078, T1059) and wrote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CVEs,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Splunk DLP, Compliance,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