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compliance tracking and decision trails.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notes, ensuring control evidence and compliance.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reduce repeat-issue investigation time before escalation, resulting in enhanced compliance and reduced risk.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Analyst at AlphaSense in Bengaluru, Karnataka, India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Compliance, audit-ready documentation, control validation, 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Python scripts to track compliance by submitting suspicious URLs/IPs to VirusTotal, AbuseIPDB, and URLScan.io, and analyzing WHOIS, DNS, and SSL data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compliance tracking system using AbuseIPDB and WHOIS to detect brand impersonation via typosquatting domain detection and DNS resolution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audit-ready documentation for compliance tracking by deploying a Telegram bot interface for live IOC enrichment, supporting bulk CSV input/output, and OSINT enrichment via theHarvester for domain profiling.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Analyst at AlphaSense in Bengaluru, Karnataka, India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Compliance, audit-ready documentation, control validation, Python, Bash, Nessus, OpenVAS, NVD API, FIRST.org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classifying CVE reports by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tracking by scheduling scans via Bash and cron, and building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