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following structured workflows.</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root cause analysis on seller claims, identifying policy violations and anomalous patterns.</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audit-ready case documentation with findings, decisions, evidence notes, and corrective actions aligned to evidence documentation and decision trails.</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Documented investigation findings, decisions, evidence notes, and corrective actions in audit-ready case records.</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(brand impersonation detection)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(threat intelligence) using Python, Telegram bot, and theHarvester for domain profiling.</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(vulnerability prioritisation)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(web application security)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(remediation tracking) tracking evidence using Python and Nessus API.</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