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with 100% case resolution within 24 hours.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reducing repeat-issue investigation time by 30%.</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investigation findings, decisions, evidence notes, and corrective actions in audit-ready case records, maintaining a 99% compliance rate with regulatory requirements.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flagging them early and reducing repeat-issue investigation time by 25% before escalation to senior reviewers.</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sending crafted HTTP requests to detect injection, broken auth, and SSRF vulnerabilities, documenting SQL injection exploit and parameterised query remediation using Python and Bash.</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