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assessment and compliance review of 50+ weekly inventory reimbursement cases by severity and policy eligibility, ensuring adherence to established guidelines.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escalating findings to senior reviewers for further investigation.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assessment,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