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workflow, maintaining a 98% on-time escalation rate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reviewers, producing 30+ actionable escalation reports per week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with investigation findings, evidence notes, and corrective actions for each of the 50+ weekly cases, creating a centralized case log used in quarterly audits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to reduce repeat‑issue investigation time before escalation, reducing duplicate investigations by 15%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a security triage workflow that ingests Nessus and OpenVAS REST data in Python, applies severity-based prioritization and structured escalation logic, and generates a CVE report with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 pattern detection module using Python to send crafted HTTP requests against web applications, recognize OWASP Top 10 injection patterns, and document a SQL injection exploit with a parameterised query remediation guide.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audit documentation by scheduling Bash‑driven scans via cron, comparing delta results to flag new CVEs, and producing patch compliance tracking evidence for each finding.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 security triage pipeline in Splunk that runs SPL correlation searches for brute‑force, lateral movement and privilege escalation, maps detected TTPs to MITRE ATT&amp;CK, and creates a PICERL incident report as audit documentation.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Engineered a pattern detection script in Python that consumes Splunk alerts, enriches IOCs via VirusTotal API, and logs enriched findings with severity classification for downstream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vendor‑neutral Sigma rules, performed TCP/IP pattern recognition in Wireshark for SYN scans, DNS tunnelling and plaintext credential exposure, and stored the resulting rule set as audit documentation.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