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triage adherence to policy guidelines.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of seller claims, identified policy violations and anomalous patterns, and escalated findings to senior reviewers, with 95% accurate root cause analysis.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high-quality audit-ready case documentation recording investigation findings, decisions, evidence notes, and corrective actions, with 99% documentation accuracy.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30%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