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management oversight.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Operational Risk &amp; Control Testing, WM Risk Analyst, Wealth Management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 management, IT audit, ITGC, GRC, 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risk-based control testing framework: identified risk management gaps and control weaknesses through IT audit and risk assessment; documented evidence trails and corrective actions in audit-ready case notes.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control gap analysis and risk identification: mapped policy-based risk triage and escalation priorities to control evidence and decision trails; documented risk management decisions and remediation tracking.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anomaly detection patterns and repeat-issue flagging: recognized risk management trends and early escalation signals through multi-API cross-referencing and WHOIS/DNS/SSL analysis; documented risk prioritization and SLA discipline.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Operational Risk &amp; Control Testing, WM Risk Analyst, Wealth Management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 management, IT audit, ITGC, GRC, Python, Bash, Nessus, OpenVAS, NVD API, FIRST.org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risk assessment pipeline integrating Nessus and OpenVAS REST APIs in Python; generated risk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risk-based vulnerability scanner: sent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risk-based scan scheduling via Bash and cron; built delta-scan logic to flag newly discovered risk management gaps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