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workflows, with 100% case escalation accuracy.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resulting in 95% of cases meeting policy compliance.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identify recurring fraud patterns, reducing repeat-issue investigation time by 30%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a 99% documentation accuracy rate.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