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applying structured case triage, escalation, and decision workflows to inform cybersecurity risk management.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 for incident response and vulnerability assessment.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to ensure compliance and inform cybersecurity risk management.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and informing cybersecurity risk management.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management,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