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applying structured workflows for timely decision-making and efficient issue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and escalated findings to senior reviewers, ensuring accurate and thorough case resolution.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actions, maintaining audit-ready case records.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escalation, mapped to MITRE ATT&amp;CK TTPs,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