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applying risk analysis to prioritize high-severity cases.</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risk assessment.</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Detected recurring fraud patterns across 200+ weekly cases, reducing repeat-issue investigation time before escalation by 50%.</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using Python, Telegram bot, and OSINT enrichment via theHarvester for domain profiling.</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Bash, and Nessus, documenting SQL injection exploit and parameterised query remediation.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tracking evidence using Python, Bash, and Nessus.</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