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workflows, and escalated findings to senior reviewers for compliance.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patterns, and documented findings in audit-ready case documentation.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escalation, and implemented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actions, and ensured compliance with established policies.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for CVE flagging, and calculated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 using EPSS scoring.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enriches with VirusTotal API, and dispatches Telegram notifications with severity classification.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and analyzed TCP/IP traffic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Risk Assessment, Compliance, OWASP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