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44"/>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360" w:after="52"/>
      </w:pPr>
      <w:r>
        <w:rPr>
          <w:rFonts w:ascii="Source Sans Pro" w:eastAsia="Source Sans Pro" w:hAnsi="Source Sans Pro" w:cs="Source Sans Pro"/>
          <w:b/>
          <w:bCs/>
          <w:color w:val="000000"/>
          <w:sz w:val="22"/>
          <w:szCs w:val="22"/>
        </w:rPr>
        <w:t>Professional Summary</w:t>
      </w:r>
    </w:p>
    <w:p w14:paraId="0A06AE7C" w14:textId="4D7069FD" w:rsidR="00F85316" w:rsidRDefault="00000000">
      <w:pPr>
        <w:spacing w:before="8"/>
      </w:pPr>
      <w:r>
        <w:rPr>
          <w:rFonts w:ascii="Source Sans Pro" w:eastAsia="Source Sans Pro" w:hAnsi="Source Sans Pro" w:cs="Source Sans Pro"/>
          <w:i/>
          <w:iCs/>
          <w:color w:val="555555"/>
          <w:sz w:val="17"/>
          <w:szCs w:val="17"/>
        </w:rPr>
        <w:t>Entry-level cybersecurity professional with hands-on experience in IT audit, ITGC, SOX, and compliance. Utilized Python, Bash, Linux, Splunk, Wireshark, Nmap, and Burp Suite to identify control gaps and ensure audit documentation quality. Applied root cause analysis and policy-based case evaluation to drive risk management and control testing.</w:t>
      </w:r>
    </w:p>
    <w:p w14:paraId="08CD6B0E" w14:textId="50BF49CF" w:rsidR="00F85316" w:rsidRDefault="00000000" w:rsidP="005868FF">
      <w:pPr>
        <w:pBdr>
          <w:bottom w:val="single" w:sz="6" w:space="1" w:color="000000"/>
        </w:pBdr>
        <w:spacing w:before="360" w:after="52"/>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Pr>
          <w:rFonts w:ascii="Source Sans Pro" w:eastAsia="Source Sans Pro" w:hAnsi="Source Sans Pro" w:cs="Source Sans Pro"/>
          <w:color w:val="555555"/>
          <w:sz w:val="19"/>
          <w:szCs w:val="19"/>
        </w:rPr>
        <w:t>2021 – 2023</w:t>
      </w:r>
    </w:p>
    <w:p w14:paraId="0A06AE7C" w14:textId="4D7069FD" w:rsidR="00F85316" w:rsidRDefault="00000000">
      <w:pPr>
        <w:spacing w:before="8"/>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Pr>
          <w:rFonts w:ascii="Source Sans Pro" w:eastAsia="Source Sans Pro" w:hAnsi="Source Sans Pro" w:cs="Source Sans Pro"/>
          <w:color w:val="555555"/>
          <w:sz w:val="19"/>
          <w:szCs w:val="19"/>
        </w:rPr>
        <w:t>2018 – 2021</w:t>
      </w:r>
    </w:p>
    <w:p w14:paraId="3B9798B2" w14:textId="77777777" w:rsidR="00F85316" w:rsidRDefault="00000000">
      <w:pPr>
        <w:spacing w:before="8"/>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Pr>
          <w:rFonts w:ascii="Source Sans Pro" w:eastAsia="Source Sans Pro" w:hAnsi="Source Sans Pro" w:cs="Source Sans Pro"/>
          <w:color w:val="555555"/>
          <w:sz w:val="19"/>
          <w:szCs w:val="19"/>
        </w:rPr>
        <w:t>2016 – 2018</w:t>
      </w:r>
    </w:p>
    <w:p w14:paraId="6F2099F5" w14:textId="130B26DC" w:rsidR="005868FF" w:rsidRDefault="00000000" w:rsidP="005868FF">
      <w:pPr>
        <w:spacing w:before="8"/>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8"/>
      </w:pPr>
    </w:p>
    <w:p w14:paraId="22436430" w14:textId="4A43ED2B" w:rsidR="00F85316" w:rsidRDefault="005868FF">
      <w:pPr>
        <w:pBdr>
          <w:bottom w:val="single" w:sz="6" w:space="1" w:color="000000"/>
        </w:pBdr>
        <w:spacing w:before="155" w:after="52"/>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62"/>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Pr>
          <w:rFonts w:ascii="Source Sans Pro" w:eastAsia="Source Sans Pro" w:hAnsi="Source Sans Pro" w:cs="Source Sans Pro"/>
          <w:color w:val="555555"/>
          <w:sz w:val="19"/>
          <w:szCs w:val="19"/>
        </w:rPr>
        <w:t>Jun. 2024 – Jan. 2026</w:t>
      </w:r>
    </w:p>
    <w:p w14:paraId="28FF3AAE" w14:textId="12E456F9" w:rsidR="00F85316" w:rsidRDefault="00000000">
      <w:pPr>
        <w:tabs>
          <w:tab w:val="right" w:pos="10800"/>
        </w:tabs>
        <w:spacing w:before="8"/>
      </w:pPr>
      <w:r>
        <w:rPr>
          <w:rFonts w:ascii="Source Sans Pro" w:eastAsia="Source Sans Pro" w:hAnsi="Source Sans Pro" w:cs="Source Sans Pro"/>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Pr>
          <w:rFonts w:ascii="Source Sans Pro" w:eastAsia="Source Sans Pro" w:hAnsi="Source Sans Pro" w:cs="Source Sans Pro"/>
          <w:color w:val="555555"/>
          <w:sz w:val="19"/>
          <w:szCs w:val="19"/>
        </w:rPr>
        <w:t>Bengaluru, India</w:t>
      </w:r>
    </w:p>
    <w:p w14:paraId="627AFE99" w14:textId="77777777" w:rsidR="00F85316" w:rsidRDefault="00000000">
      <w:pPr>
        <w:pStyle w:val="ListParagraph"/>
        <w:numPr>
          <w:ilvl w:val="0"/>
          <w:numId w:val="2"/>
        </w:numPr>
        <w:spacing w:before="13" w:after="13"/>
      </w:pPr>
      <w:r>
        <w:rPr>
          <w:rFonts w:ascii="Source Sans Pro" w:eastAsia="Source Sans Pro" w:hAnsi="Source Sans Pro" w:cs="Source Sans Pro"/>
          <w:color w:val="000000"/>
          <w:sz w:val="19"/>
          <w:szCs w:val="19"/>
        </w:rPr>
        <w:t>Triaged 50+ weekly inventory reimbursement cases by severity and policy eligibility, mirroring the structured alert triage and escalation workflow used in SOC Tier 1 analyst roles.</w:t>
      </w:r>
      <w:proofErr w:type="spellStart"/>
      <w:r>
        <w:rPr>
          <w:rFonts w:ascii="Source Sans Pro" w:eastAsia="Source Sans Pro" w:hAnsi="Source Sans Pro" w:cs="Source Sans Pro"/>
          <w:color w:val="000000"/>
          <w:sz w:val="19"/>
          <w:szCs w:val="19"/>
        </w:rPr>
      </w:r>
      <w:proofErr w:type="spellEnd"/>
      <w:r>
        <w:rPr>
          <w:rFonts w:ascii="Source Sans Pro" w:eastAsia="Source Sans Pro" w:hAnsi="Source Sans Pro" w:cs="Source Sans Pro"/>
          <w:color w:val="000000"/>
          <w:sz w:val="19"/>
          <w:szCs w:val="19"/>
        </w:rPr>
      </w:r>
    </w:p>
    <w:p w14:paraId="2386282C" w14:textId="77777777" w:rsidR="00F85316" w:rsidRDefault="00000000">
      <w:pPr>
        <w:pStyle w:val="ListParagraph"/>
        <w:numPr>
          <w:ilvl w:val="0"/>
          <w:numId w:val="2"/>
        </w:numPr>
        <w:spacing w:before="13" w:after="13"/>
      </w:pPr>
      <w:r>
        <w:rPr>
          <w:rFonts w:ascii="Source Sans Pro" w:eastAsia="Source Sans Pro" w:hAnsi="Source Sans Pro" w:cs="Source Sans Pro"/>
          <w:color w:val="000000"/>
          <w:sz w:val="19"/>
          <w:szCs w:val="19"/>
        </w:rPr>
        <w:t>Performed root cause analysis on seller claims to identify policy violations and anomalous patterns; escalated findings to senior reviewers, demonstrating investigative instincts central to SOC and fraud analyst operations.</w:t>
      </w:r>
    </w:p>
    <w:p w14:paraId="6CBFEBBC" w14:textId="77777777" w:rsidR="00F85316" w:rsidRDefault="00000000">
      <w:pPr>
        <w:pStyle w:val="ListParagraph"/>
        <w:numPr>
          <w:ilvl w:val="0"/>
          <w:numId w:val="2"/>
        </w:numPr>
        <w:spacing w:before="13" w:after="13"/>
      </w:pPr>
      <w:r>
        <w:rPr>
          <w:rFonts w:ascii="Source Sans Pro" w:eastAsia="Source Sans Pro" w:hAnsi="Source Sans Pro" w:cs="Source Sans Pro"/>
          <w:color w:val="000000"/>
          <w:sz w:val="19"/>
          <w:szCs w:val="19"/>
        </w:rPr>
        <w:t>Maintained audit-ready case documentation recording investigation findings, decisions, and corrective actions, establishing the evidence chain-of-custody discipline required for security incident reporting and IT audit.</w:t>
      </w:r>
    </w:p>
    <w:p w14:paraId="6CBFEBBC" w14:textId="77777777" w:rsidR="00F85316" w:rsidRDefault="00000000">
      <w:pPr>
        <w:pStyle w:val="ListParagraph"/>
        <w:numPr>
          <w:ilvl w:val="0"/>
          <w:numId w:val="2"/>
        </w:numPr>
        <w:spacing w:before="13" w:after="13"/>
      </w:pPr>
      <w:r>
        <w:rPr>
          <w:rFonts w:ascii="Source Sans Pro" w:eastAsia="Source Sans Pro" w:hAnsi="Source Sans Pro" w:cs="Source Sans Pro"/>
          <w:color w:val="000000"/>
          <w:sz w:val="19"/>
          <w:szCs w:val="19"/>
        </w:rPr>
        <w:t>Collaborated with compliance and risk teams to enforce regulatory policies, identify process vulnerabilities, and implement corrective controls, building operational instincts in risk management and compliance monitoring.</w:t>
      </w:r>
    </w:p>
    <w:p w14:paraId="37136F35" w14:textId="77777777" w:rsidR="005868FF" w:rsidRDefault="005868FF">
      <w:pPr>
        <w:pBdr>
          <w:bottom w:val="single" w:sz="6" w:space="1" w:color="000000"/>
        </w:pBdr>
        <w:spacing w:before="155" w:after="52"/>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155" w:after="52"/>
      </w:pPr>
      <w:r>
        <w:rPr>
          <w:rFonts w:ascii="Source Sans Pro" w:eastAsia="Source Sans Pro" w:hAnsi="Source Sans Pro" w:cs="Source Sans Pro"/>
          <w:b/>
          <w:bCs/>
          <w:color w:val="000000"/>
          <w:sz w:val="22"/>
          <w:szCs w:val="22"/>
        </w:rPr>
        <w:t>Projects</w:t>
      </w:r>
    </w:p>
    <w:p w14:paraId="7BB7B718"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 xml:space="preserve">GRC Compliance Automation &amp; Risk Intelligence Framework  |  </w:t>
        <w:tab/>
        <w:t>Python, NIST CSF, ISO 27001, PCI-DSS, GDPR/PDPB, Excel, Git</w:t>
      </w:r>
      <w:r>
        <w:rPr>
          <w:rFonts w:ascii="Source Sans Pro" w:eastAsia="Source Sans Pro" w:hAnsi="Source Sans Pro" w:cs="Source Sans Pro"/>
          <w:color w:val="555555"/>
          <w:sz w:val="19"/>
          <w:szCs w:val="19"/>
        </w:rPr>
      </w:r>
      <w:hyperlink r:id="rId8" w:history="1">
        <w:r w:rsidR="00F85316">
          <w:rPr>
            <w:noProof/>
          </w:rPr>
          <w:drawing>
            <wp:inline distT="0" distB="0" distL="0" distR="0" wp14:anchorId="7B56B168" wp14:editId="47E0EAC7">
              <wp:extent cx="104775" cy="104775"/>
              <wp:effectExtent l="0" t="0" r="0" b="0"/>
              <wp:docPr id="1471047774" name="Picture 1471047774">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a:hlinkClick r:id="rId8"/>
                      </pic:cNvPr>
                      <pic:cNvPicPr>
                        <a:picLocks noChangeAspect="1" noChangeArrowheads="1"/>
                      </pic:cNvPicPr>
                    </pic:nvPicPr>
                    <pic:blipFill>
                      <a:blip r:embed="rId9"/>
                      <a:srcRect/>
                      <a:stretch>
                        <a:fillRect/>
                      </a:stretch>
                    </pic:blipFill>
                    <pic:spPr bwMode="auto">
                      <a:xfrm>
                        <a:off x="0" y="0"/>
                        <a:ext cx="104775" cy="104775"/>
                      </a:xfrm>
                      <a:prstGeom prst="rect">
                        <a:avLst/>
                      </a:prstGeom>
                    </pic:spPr>
                  </pic:pic>
                </a:graphicData>
              </a:graphic>
            </wp:inline>
          </w:drawing>
        </w:r>
      </w:hyperlink>
      <w:r>
        <w:rPr>
          <w:rFonts w:ascii="Source Sans Pro" w:eastAsia="Source Sans Pro" w:hAnsi="Source Sans Pro" w:cs="Source Sans Pro"/>
          <w:sz w:val="19"/>
          <w:szCs w:val="19"/>
        </w:rPr>
      </w:r>
      <w:r>
        <w:rPr>
          <w:rFonts w:ascii="Source Sans Pro" w:eastAsia="Source Sans Pro" w:hAnsi="Source Sans Pro" w:cs="Source Sans Pro"/>
          <w:color w:val="555555"/>
          <w:sz w:val="19"/>
          <w:szCs w:val="19"/>
        </w:rPr>
      </w:r>
      <w:proofErr w:type="spellStart"/>
      <w:r>
        <w:rPr>
          <w:rFonts w:ascii="Source Sans Pro" w:eastAsia="Source Sans Pro" w:hAnsi="Source Sans Pro" w:cs="Source Sans Pro"/>
          <w:color w:val="555555"/>
          <w:sz w:val="19"/>
          <w:szCs w:val="19"/>
        </w:rPr>
      </w:r>
      <w:proofErr w:type="spellEnd"/>
    </w:p>
    <w:p w14:paraId="51F80E9A" w14:textId="77777777" w:rsidR="00F85316" w:rsidRDefault="00000000">
      <w:pPr>
        <w:pStyle w:val="ListParagraph"/>
        <w:numPr>
          <w:ilvl w:val="0"/>
          <w:numId w:val="2"/>
        </w:numPr>
        <w:spacing w:before="13" w:after="13"/>
      </w:pPr>
      <w:r>
        <w:rPr>
          <w:rFonts w:ascii="Source Sans Pro" w:eastAsia="Source Sans Pro" w:hAnsi="Source Sans Pro" w:cs="Source Sans Pro"/>
          <w:color w:val="000000"/>
          <w:sz w:val="19"/>
          <w:szCs w:val="19"/>
        </w:rPr>
        <w:t>Developed Python GRC compliance tool mapping controls to NIST CSF, ISO 27001, and PCI-DSS; auto-generates gap analysis reports scoring each domain and flagging non-compliant controls.</w:t>
      </w:r>
    </w:p>
    <w:p w14:paraId="3454FF97" w14:textId="77777777" w:rsidR="00F85316" w:rsidRDefault="00000000">
      <w:pPr>
        <w:pStyle w:val="ListParagraph"/>
        <w:numPr>
          <w:ilvl w:val="0"/>
          <w:numId w:val="2"/>
        </w:numPr>
        <w:spacing w:before="13" w:after="13"/>
      </w:pPr>
      <w:r>
        <w:rPr>
          <w:rFonts w:ascii="Source Sans Pro" w:eastAsia="Source Sans Pro" w:hAnsi="Source Sans Pro" w:cs="Source Sans Pro"/>
          <w:color w:val="000000"/>
          <w:sz w:val="19"/>
          <w:szCs w:val="19"/>
        </w:rPr>
        <w:t>Built automated third-party vendor risk module computing quantitative risk scores across 12 domains aligned with enterprise TPRM frameworks.</w:t>
      </w:r>
    </w:p>
    <w:p w14:paraId="3BDE0EEF" w14:textId="77777777" w:rsidR="00F85316" w:rsidRDefault="00000000">
      <w:pPr>
        <w:pStyle w:val="ListParagraph"/>
        <w:numPr>
          <w:ilvl w:val="0"/>
          <w:numId w:val="2"/>
        </w:numPr>
        <w:spacing w:before="13" w:after="13"/>
      </w:pPr>
      <w:r>
        <w:rPr>
          <w:rFonts w:ascii="Source Sans Pro" w:eastAsia="Source Sans Pro" w:hAnsi="Source Sans Pro" w:cs="Source Sans Pro"/>
          <w:color w:val="000000"/>
          <w:sz w:val="19"/>
          <w:szCs w:val="19"/>
        </w:rPr>
        <w:t>Implemented transaction anomaly detection engine flagging structuring, rapid velocity, and dormant account reactivation patterns applicable to fraud and AML roles.</w:t>
      </w:r>
      <w:proofErr w:type="spellStart"/>
      <w:r>
        <w:rPr>
          <w:rFonts w:ascii="Source Sans Pro" w:eastAsia="Source Sans Pro" w:hAnsi="Source Sans Pro" w:cs="Source Sans Pro"/>
          <w:color w:val="000000"/>
          <w:sz w:val="19"/>
          <w:szCs w:val="19"/>
        </w:rPr>
      </w:r>
      <w:proofErr w:type="spellEnd"/>
      <w:r>
        <w:rPr>
          <w:rFonts w:ascii="Source Sans Pro" w:eastAsia="Source Sans Pro" w:hAnsi="Source Sans Pro" w:cs="Source Sans Pro"/>
          <w:color w:val="000000"/>
          <w:sz w:val="19"/>
          <w:szCs w:val="19"/>
        </w:rPr>
      </w:r>
      <w:proofErr w:type="spellStart"/>
      <w:r>
        <w:rPr>
          <w:rFonts w:ascii="Source Sans Pro" w:eastAsia="Source Sans Pro" w:hAnsi="Source Sans Pro" w:cs="Source Sans Pro"/>
          <w:color w:val="000000"/>
          <w:sz w:val="19"/>
          <w:szCs w:val="19"/>
        </w:rPr>
      </w:r>
      <w:proofErr w:type="spellEnd"/>
      <w:r>
        <w:rPr>
          <w:rFonts w:ascii="Source Sans Pro" w:eastAsia="Source Sans Pro" w:hAnsi="Source Sans Pro" w:cs="Source Sans Pro"/>
          <w:color w:val="000000"/>
          <w:sz w:val="19"/>
          <w:szCs w:val="19"/>
        </w:rPr>
      </w:r>
    </w:p>
    <w:p w14:paraId="3BDE0EEF" w14:textId="77777777" w:rsidR="00F85316" w:rsidRDefault="00000000">
      <w:pPr>
        <w:pStyle w:val="ListParagraph"/>
        <w:numPr>
          <w:ilvl w:val="0"/>
          <w:numId w:val="2"/>
        </w:numPr>
        <w:spacing w:before="13" w:after="13"/>
      </w:pPr>
      <w:r>
        <w:rPr>
          <w:rFonts w:ascii="Source Sans Pro" w:eastAsia="Source Sans Pro" w:hAnsi="Source Sans Pro" w:cs="Source Sans Pro"/>
          <w:color w:val="000000"/>
          <w:sz w:val="19"/>
          <w:szCs w:val="19"/>
        </w:rPr>
        <w:t>Developed GDPR/PDPB audit checklist evaluating consent management, data minimisation, and breach notification compliance with scored outputs.</w:t>
      </w:r>
      <w:proofErr w:type="spellStart"/>
      <w:r>
        <w:rPr>
          <w:rFonts w:ascii="Source Sans Pro" w:eastAsia="Source Sans Pro" w:hAnsi="Source Sans Pro" w:cs="Source Sans Pro"/>
          <w:color w:val="000000"/>
          <w:sz w:val="19"/>
          <w:szCs w:val="19"/>
        </w:rPr>
      </w:r>
      <w:proofErr w:type="spellEnd"/>
      <w:r>
        <w:rPr>
          <w:rFonts w:ascii="Source Sans Pro" w:eastAsia="Source Sans Pro" w:hAnsi="Source Sans Pro" w:cs="Source Sans Pro"/>
          <w:color w:val="000000"/>
          <w:sz w:val="19"/>
          <w:szCs w:val="19"/>
        </w:rPr>
      </w:r>
      <w:proofErr w:type="spellStart"/>
      <w:r>
        <w:rPr>
          <w:rFonts w:ascii="Source Sans Pro" w:eastAsia="Source Sans Pro" w:hAnsi="Source Sans Pro" w:cs="Source Sans Pro"/>
          <w:color w:val="000000"/>
          <w:sz w:val="19"/>
          <w:szCs w:val="19"/>
        </w:rPr>
      </w:r>
      <w:proofErr w:type="spellEnd"/>
      <w:r>
        <w:rPr>
          <w:rFonts w:ascii="Source Sans Pro" w:eastAsia="Source Sans Pro" w:hAnsi="Source Sans Pro" w:cs="Source Sans Pro"/>
          <w:color w:val="000000"/>
          <w:sz w:val="19"/>
          <w:szCs w:val="19"/>
        </w:rPr>
      </w:r>
    </w:p>
    <w:p w14:paraId="50EFC0D0" w14:textId="77777777" w:rsidR="00F85316" w:rsidRDefault="00F85316">
      <w:pPr>
        <w:spacing w:before="30"/>
      </w:pPr>
    </w:p>
    <w:p w14:paraId="18C4CB2C" w14:textId="77777777" w:rsidR="00F85316" w:rsidRDefault="00000000">
      <w:pPr>
        <w:tabs>
          <w:tab w:val="right" w:pos="10800"/>
        </w:tabs>
        <w:spacing w:before="30"/>
      </w:pPr>
      <w:r>
        <w:rPr>
          <w:rFonts w:ascii="Source Sans Pro" w:eastAsia="Source Sans Pro" w:hAnsi="Source Sans Pro" w:cs="Source Sans Pro"/>
          <w:b/>
          <w:bCs/>
          <w:color w:val="000000"/>
          <w:sz w:val="19"/>
          <w:szCs w:val="19"/>
        </w:rPr>
        <w:t xml:space="preserve">Cybersecurity SOC &amp; Threat Detection Home Lab  |  </w:t>
        <w:tab/>
        <w:t>Splunk (SPL), Wireshark, Nmap, Burp Suite, Linux, MITRE ATT&amp;CK, TryHackMe</w:t>
      </w:r>
      <w:r>
        <w:rPr>
          <w:rFonts w:ascii="Source Sans Pro" w:eastAsia="Source Sans Pro" w:hAnsi="Source Sans Pro" w:cs="Source Sans Pro"/>
          <w:color w:val="555555"/>
          <w:sz w:val="19"/>
          <w:szCs w:val="19"/>
        </w:rPr>
      </w:r>
      <w:hyperlink r:id="rId10" w:history="1">
        <w:r w:rsidR="00F85316">
          <w:rPr>
            <w:noProof/>
          </w:rPr>
          <w:drawing>
            <wp:inline distT="0" distB="0" distL="0" distR="0" wp14:anchorId="1A9BA1D9" wp14:editId="5F9CB53B">
              <wp:extent cx="104775" cy="104775"/>
              <wp:effectExtent l="0" t="0" r="0" b="0"/>
              <wp:docPr id="1521653308" name="Picture 1521653308">
                <a:hlinkClick xmlns:a="http://schemas.openxmlformats.org/drawingml/2006/main" r:id="rId1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a:hlinkClick r:id="rId10"/>
                      </pic:cNvPr>
                      <pic:cNvPicPr>
                        <a:picLocks noChangeAspect="1" noChangeArrowheads="1"/>
                      </pic:cNvPicPr>
                    </pic:nvPicPr>
                    <pic:blipFill>
                      <a:blip r:embed="rId9"/>
                      <a:srcRect/>
                      <a:stretch>
                        <a:fillRect/>
                      </a:stretch>
                    </pic:blipFill>
                    <pic:spPr bwMode="auto">
                      <a:xfrm>
                        <a:off x="0" y="0"/>
                        <a:ext cx="104775" cy="104775"/>
                      </a:xfrm>
                      <a:prstGeom prst="rect">
                        <a:avLst/>
                      </a:prstGeom>
                    </pic:spPr>
                  </pic:pic>
                </a:graphicData>
              </a:graphic>
            </wp:inline>
          </w:drawing>
        </w:r>
      </w:hyperlink>
      <w:r>
        <w:rPr>
          <w:rFonts w:ascii="Source Sans Pro" w:eastAsia="Source Sans Pro" w:hAnsi="Source Sans Pro" w:cs="Source Sans Pro"/>
          <w:sz w:val="19"/>
          <w:szCs w:val="19"/>
        </w:rPr>
      </w:r>
      <w:r>
        <w:rPr>
          <w:rFonts w:ascii="Source Sans Pro" w:eastAsia="Source Sans Pro" w:hAnsi="Source Sans Pro" w:cs="Source Sans Pro"/>
          <w:color w:val="555555"/>
          <w:sz w:val="19"/>
          <w:szCs w:val="19"/>
        </w:rPr>
      </w:r>
    </w:p>
    <w:p w14:paraId="50B32822" w14:textId="77777777" w:rsidR="00F85316" w:rsidRDefault="00000000">
      <w:pPr>
        <w:pStyle w:val="ListParagraph"/>
        <w:numPr>
          <w:ilvl w:val="0"/>
          <w:numId w:val="2"/>
        </w:numPr>
        <w:spacing w:before="13" w:after="13"/>
      </w:pPr>
      <w:r>
        <w:rPr>
          <w:rFonts w:ascii="Source Sans Pro" w:eastAsia="Source Sans Pro" w:hAnsi="Source Sans Pro" w:cs="Source Sans Pro"/>
          <w:color w:val="000000"/>
          <w:sz w:val="19"/>
          <w:szCs w:val="19"/>
        </w:rPr>
        <w:t>Deployed Splunk SIEM and authored SPL correlation searches for brute-force detection, lateral movement, and privilege escalation; mapped TTPs to MITRE ATT&amp;CK (T1110, T1078, T1059) and wrote PICERL incident report.</w:t>
      </w:r>
    </w:p>
    <w:p w14:paraId="04176F54" w14:textId="77777777" w:rsidR="00F85316" w:rsidRDefault="00000000">
      <w:pPr>
        <w:pStyle w:val="ListParagraph"/>
        <w:numPr>
          <w:ilvl w:val="0"/>
          <w:numId w:val="2"/>
        </w:numPr>
        <w:spacing w:before="13" w:after="13"/>
      </w:pPr>
      <w:r>
        <w:rPr>
          <w:rFonts w:ascii="Source Sans Pro" w:eastAsia="Source Sans Pro" w:hAnsi="Source Sans Pro" w:cs="Source Sans Pro"/>
          <w:color w:val="000000"/>
          <w:sz w:val="19"/>
          <w:szCs w:val="19"/>
        </w:rPr>
        <w:t>Analysed TCP/IP traffic in Wireshark — isolated HTTP/DNS flows, detected plaintext credential exposure, identified SYN scan patterns and DNS tunnelling anomalies indicative of C2 communication.</w:t>
      </w:r>
    </w:p>
    <w:p w14:paraId="04176F54" w14:textId="77777777" w:rsidR="00F85316" w:rsidRDefault="00000000">
      <w:pPr>
        <w:pStyle w:val="ListParagraph"/>
        <w:numPr>
          <w:ilvl w:val="0"/>
          <w:numId w:val="2"/>
        </w:numPr>
        <w:spacing w:before="13" w:after="13"/>
      </w:pPr>
      <w:r>
        <w:rPr>
          <w:rFonts w:ascii="Source Sans Pro" w:eastAsia="Source Sans Pro" w:hAnsi="Source Sans Pro" w:cs="Source Sans Pro"/>
          <w:color w:val="000000"/>
          <w:sz w:val="19"/>
          <w:szCs w:val="19"/>
        </w:rPr>
        <w:t>Conducted network reconnaissance with Nmap (host discovery, OS fingerprinting, service-version detection) and SQL injection testing; documented OWASP Top 10 parameterised query remediation.</w:t>
      </w:r>
    </w:p>
    <w:p w14:paraId="04176F54" w14:textId="77777777" w:rsidR="00F85316" w:rsidRDefault="00000000">
      <w:pPr>
        <w:pStyle w:val="ListParagraph"/>
        <w:numPr>
          <w:ilvl w:val="0"/>
          <w:numId w:val="2"/>
        </w:numPr>
        <w:spacing w:before="13" w:after="13"/>
      </w:pPr>
      <w:r>
        <w:rPr>
          <w:rFonts w:ascii="Source Sans Pro" w:eastAsia="Source Sans Pro" w:hAnsi="Source Sans Pro" w:cs="Source Sans Pro"/>
          <w:color w:val="000000"/>
          <w:sz w:val="19"/>
          <w:szCs w:val="19"/>
        </w:rPr>
        <w:t>Completed 9 TryHackMe rooms: Windows Event Logs, Active Directory Basics, Phishing Analysis, SIEM fundamentals, and threat hunting — building hands-on SOC Tier 1 analyst skills.</w:t>
      </w:r>
    </w:p>
    <w:p w14:paraId="0240B124" w14:textId="77777777" w:rsidR="005868FF" w:rsidRDefault="005868FF">
      <w:pPr>
        <w:pBdr>
          <w:bottom w:val="single" w:sz="6" w:space="1" w:color="000000"/>
        </w:pBdr>
        <w:spacing w:before="155" w:after="52"/>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155" w:after="52"/>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24" w:after="24"/>
      </w:pPr>
      <w:r>
        <w:rPr>
          <w:rFonts w:ascii="Source Sans Pro" w:eastAsia="Source Sans Pro" w:hAnsi="Source Sans Pro" w:cs="Source Sans Pro"/>
          <w:b/>
          <w:bCs/>
          <w:color w:val="000000"/>
          <w:sz w:val="19"/>
          <w:szCs w:val="19"/>
        </w:rPr>
        <w:t>Networking:  TCP/IP, DNS, HTTP/S, firewall concepts, IDS/IPS concepts</w:t>
      </w:r>
      <w:r w:rsidR="005868FF">
        <w:rPr>
          <w:rFonts w:ascii="Source Sans Pro" w:eastAsia="Source Sans Pro" w:hAnsi="Source Sans Pro" w:cs="Source Sans Pro"/>
          <w:b/>
          <w:bCs/>
          <w:color w:val="000000"/>
          <w:sz w:val="19"/>
          <w:szCs w:val="19"/>
        </w:rPr>
      </w:r>
      <w:r>
        <w:rPr>
          <w:rFonts w:ascii="Source Sans Pro" w:eastAsia="Source Sans Pro" w:hAnsi="Source Sans Pro" w:cs="Source Sans Pro"/>
          <w:color w:val="000000"/>
          <w:sz w:val="19"/>
          <w:szCs w:val="19"/>
        </w:rPr>
      </w:r>
    </w:p>
    <w:p w14:paraId="66427927" w14:textId="35C3C763" w:rsidR="00F85316" w:rsidRDefault="00000000">
      <w:pPr>
        <w:spacing w:before="24" w:after="24"/>
      </w:pPr>
      <w:r>
        <w:rPr>
          <w:rFonts w:ascii="Source Sans Pro" w:eastAsia="Source Sans Pro" w:hAnsi="Source Sans Pro" w:cs="Source Sans Pro"/>
          <w:b/>
          <w:bCs/>
          <w:color w:val="000000"/>
          <w:sz w:val="19"/>
          <w:szCs w:val="19"/>
        </w:rPr>
        <w:t>OS &amp; Scripting:  Linux (grep, netstat, log analysis), Windows internals, Active Directory (basics), PowerShell (basic), Python, Bash</w:t>
      </w:r>
      <w:r w:rsidR="005868FF">
        <w:rPr>
          <w:rFonts w:ascii="Source Sans Pro" w:eastAsia="Source Sans Pro" w:hAnsi="Source Sans Pro" w:cs="Source Sans Pro"/>
          <w:b/>
          <w:bCs/>
          <w:color w:val="000000"/>
          <w:sz w:val="19"/>
          <w:szCs w:val="19"/>
        </w:rPr>
      </w:r>
      <w:r>
        <w:rPr>
          <w:rFonts w:ascii="Source Sans Pro" w:eastAsia="Source Sans Pro" w:hAnsi="Source Sans Pro" w:cs="Source Sans Pro"/>
          <w:color w:val="000000"/>
          <w:sz w:val="19"/>
          <w:szCs w:val="19"/>
        </w:rPr>
      </w:r>
    </w:p>
    <w:p w14:paraId="1F2ECB33" w14:textId="08B05925" w:rsidR="00F85316" w:rsidRDefault="00000000">
      <w:pPr>
        <w:spacing w:before="24" w:after="24"/>
      </w:pPr>
      <w:r>
        <w:rPr>
          <w:rFonts w:ascii="Source Sans Pro" w:eastAsia="Source Sans Pro" w:hAnsi="Source Sans Pro" w:cs="Source Sans Pro"/>
          <w:b/>
          <w:bCs/>
          <w:color w:val="000000"/>
          <w:sz w:val="19"/>
          <w:szCs w:val="19"/>
        </w:rPr>
        <w:t>Risk &amp; Investigation:  Root cause analysis, policy-based case evaluation, audit documentation</w:t>
      </w:r>
      <w:r w:rsidR="005868FF">
        <w:rPr>
          <w:rFonts w:ascii="Source Sans Pro" w:eastAsia="Source Sans Pro" w:hAnsi="Source Sans Pro" w:cs="Source Sans Pro"/>
          <w:b/>
          <w:bCs/>
          <w:color w:val="000000"/>
          <w:sz w:val="19"/>
          <w:szCs w:val="19"/>
        </w:rPr>
      </w:r>
      <w:r>
        <w:rPr>
          <w:rFonts w:ascii="Source Sans Pro" w:eastAsia="Source Sans Pro" w:hAnsi="Source Sans Pro" w:cs="Source Sans Pro"/>
          <w:color w:val="000000"/>
          <w:sz w:val="19"/>
          <w:szCs w:val="19"/>
        </w:rPr>
      </w:r>
    </w:p>
    <w:p w14:paraId="61362AEF" w14:textId="705887DA" w:rsidR="00F85316" w:rsidRDefault="00000000">
      <w:pPr>
        <w:spacing w:before="24" w:after="24"/>
      </w:pPr>
      <w:r>
        <w:rPr>
          <w:rFonts w:ascii="Source Sans Pro" w:eastAsia="Source Sans Pro" w:hAnsi="Source Sans Pro" w:cs="Source Sans Pro"/>
          <w:b/>
          <w:bCs/>
          <w:color w:val="000000"/>
          <w:sz w:val="19"/>
          <w:szCs w:val="19"/>
        </w:rPr>
        <w:t>SIEM &amp; Tools:  Splunk (SPL), Wireshark, PCAP analysis, Windows Event Logs, Nmap</w:t>
      </w:r>
      <w:r w:rsidR="005868FF">
        <w:rPr>
          <w:rFonts w:ascii="Source Sans Pro" w:eastAsia="Source Sans Pro" w:hAnsi="Source Sans Pro" w:cs="Source Sans Pro"/>
          <w:b/>
          <w:bCs/>
          <w:color w:val="000000"/>
          <w:sz w:val="19"/>
          <w:szCs w:val="19"/>
        </w:rPr>
      </w:r>
      <w:r>
        <w:rPr>
          <w:rFonts w:ascii="Source Sans Pro" w:eastAsia="Source Sans Pro" w:hAnsi="Source Sans Pro" w:cs="Source Sans Pro"/>
          <w:color w:val="000000"/>
          <w:sz w:val="19"/>
          <w:szCs w:val="19"/>
        </w:rPr>
      </w:r>
    </w:p>
    <w:p w14:paraId="7619F0A2" w14:textId="0F60A4DE" w:rsidR="00F85316" w:rsidRDefault="00000000">
      <w:pPr>
        <w:spacing w:before="24" w:after="24"/>
      </w:pPr>
      <w:r>
        <w:rPr>
          <w:rFonts w:ascii="Source Sans Pro" w:eastAsia="Source Sans Pro" w:hAnsi="Source Sans Pro" w:cs="Source Sans Pro"/>
          <w:b/>
          <w:bCs/>
          <w:color w:val="000000"/>
          <w:sz w:val="19"/>
          <w:szCs w:val="19"/>
        </w:rPr>
        <w:t>Security Operations Center (SOC):  Alert triage, log analysis, security monitoring, threat detection, incident escalation, endpoint security, ticketing system workflows</w:t>
      </w:r>
      <w:proofErr w:type="spellStart"/>
      <w:r>
        <w:rPr>
          <w:rFonts w:ascii="Source Sans Pro" w:eastAsia="Source Sans Pro" w:hAnsi="Source Sans Pro" w:cs="Source Sans Pro"/>
          <w:b/>
          <w:bCs/>
          <w:color w:val="000000"/>
          <w:sz w:val="19"/>
          <w:szCs w:val="19"/>
        </w:rPr>
      </w:r>
      <w:proofErr w:type="spellEnd"/>
      <w:r>
        <w:rPr>
          <w:rFonts w:ascii="Source Sans Pro" w:eastAsia="Source Sans Pro" w:hAnsi="Source Sans Pro" w:cs="Source Sans Pro"/>
          <w:b/>
          <w:bCs/>
          <w:color w:val="000000"/>
          <w:sz w:val="19"/>
          <w:szCs w:val="19"/>
        </w:rPr>
      </w:r>
      <w:r w:rsidR="005868FF">
        <w:rPr>
          <w:rFonts w:ascii="Source Sans Pro" w:eastAsia="Source Sans Pro" w:hAnsi="Source Sans Pro" w:cs="Source Sans Pro"/>
          <w:b/>
          <w:bCs/>
          <w:color w:val="000000"/>
          <w:sz w:val="19"/>
          <w:szCs w:val="19"/>
        </w:rPr>
      </w:r>
      <w:r>
        <w:rPr>
          <w:rFonts w:ascii="Source Sans Pro" w:eastAsia="Source Sans Pro" w:hAnsi="Source Sans Pro" w:cs="Source Sans Pro"/>
          <w:color w:val="000000"/>
          <w:sz w:val="19"/>
          <w:szCs w:val="19"/>
        </w:rPr>
      </w:r>
    </w:p>
    <w:p w14:paraId="5C316093" w14:textId="09A19711" w:rsidR="00F85316" w:rsidRDefault="00000000">
      <w:pPr>
        <w:spacing w:before="24" w:after="24"/>
      </w:pPr>
      <w:r>
        <w:rPr>
          <w:rFonts w:ascii="Source Sans Pro" w:eastAsia="Source Sans Pro" w:hAnsi="Source Sans Pro" w:cs="Source Sans Pro"/>
          <w:b/>
          <w:bCs/>
          <w:color w:val="000000"/>
          <w:sz w:val="19"/>
          <w:szCs w:val="19"/>
        </w:rPr>
        <w:t>Security Frameworks:  MITRE ATT&amp;CK, Incident Response (PICERL), OWASP Top 10</w:t>
      </w:r>
      <w:r w:rsidR="005868FF">
        <w:rPr>
          <w:rFonts w:ascii="Source Sans Pro" w:eastAsia="Source Sans Pro" w:hAnsi="Source Sans Pro" w:cs="Source Sans Pro"/>
          <w:b/>
          <w:bCs/>
          <w:color w:val="000000"/>
          <w:sz w:val="19"/>
          <w:szCs w:val="19"/>
        </w:rPr>
      </w:r>
      <w:r>
        <w:rPr>
          <w:rFonts w:ascii="Source Sans Pro" w:eastAsia="Source Sans Pro" w:hAnsi="Source Sans Pro" w:cs="Source Sans Pro"/>
          <w:color w:val="000000"/>
          <w:sz w:val="19"/>
          <w:szCs w:val="19"/>
        </w:rPr>
      </w:r>
    </w:p>
    <w:p w14:paraId="7AF39A30" w14:textId="77777777" w:rsidR="005868FF" w:rsidRDefault="005868FF">
      <w:pPr>
        <w:pBdr>
          <w:bottom w:val="single" w:sz="6" w:space="1" w:color="000000"/>
        </w:pBdr>
        <w:spacing w:before="155" w:after="52"/>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155" w:after="52"/>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13"/>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13"/>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4564C"/>
    <w:rsid w:val="00257727"/>
    <w:rsid w:val="00367EC3"/>
    <w:rsid w:val="004C7FB6"/>
    <w:rsid w:val="005868FF"/>
    <w:rsid w:val="005A49D4"/>
    <w:rsid w:val="00613313"/>
    <w:rsid w:val="00702D6F"/>
    <w:rsid w:val="007B2A24"/>
    <w:rsid w:val="00920EF0"/>
    <w:rsid w:val="00984DD0"/>
    <w:rsid w:val="00A15DCE"/>
    <w:rsid w:val="00A311D5"/>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p/cybersecurity-home-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fontTable" Target="fontTable.xml"/><Relationship Id="rId5" Type="http://schemas.openxmlformats.org/officeDocument/2006/relationships/hyperlink" Target="http://www.linkedin.com/in/akshay-p-35086a33b" TargetMode="External"/><Relationship Id="rId10" Type="http://schemas.openxmlformats.org/officeDocument/2006/relationships/hyperlink" Target="https://github.com/akshay-p/vuln-scanner" TargetMode="External"/><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447</Words>
  <Characters>2984</Characters>
  <Application>Microsoft Office Word</Application>
  <DocSecurity>0</DocSecurity>
  <Lines>53</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3</cp:revision>
  <cp:lastPrinted>2026-03-07T06:45:00Z</cp:lastPrinted>
  <dcterms:created xsi:type="dcterms:W3CDTF">2026-04-04T19:03:00Z</dcterms:created>
  <dcterms:modified xsi:type="dcterms:W3CDTF">2026-04-05T11:56:00Z</dcterms:modified>
</cp:coreProperties>
</file>