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applying structured case triage discipline to prioritize high-risk cases.</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timely decision-making.</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Compliance Analyst I at Serve You Rx</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Created audit-ready documentation for compliance tracking by building a multi-API threat intelligence pipeline that submits suspicious URLs/IPs to VirusTotal, AbuseIPDB, and URLScan.io, and cross-references WHOIS registration age, DNS records, and SSL details for phishing analysis.</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control validation evidence by implementing a typosquatting domain detector generating character-substitution variants of brand domains and checking live DNS resolution for brand-impersonation analysis.</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Generated compliance tracking evidence by deploying a Telegram bot interface enabling analysts to submit URLs for live IOC enrichment, supporting bulk CSV input/output for incident response workflows, and including OSINT enrichment via theHarvester for domain profiling.</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Compliance Analyst I at Serve You Rx</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Created compliance tracking evidence by building an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audit-ready documentation for compliance tracking by developing an OWASP Top 10 automated web checker that sends crafted HTTP requests to detect injection, broken auth, and SSRF vulnerabilities, documenting SQL injection exploit and parameterised query remediation.</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Generated compliance tracking evidence by automating scan scheduling via Bash and cron, building delta-scan logic to flag newly discovered CVEs and organize patch compliance tracking evidence.</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65" w:after="65"/>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65" w:after="65"/>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65" w:after="65"/>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