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 supporting security incident intake</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for further action</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Documented audit‑ready case records with investigation findings, evidence notes, and corrective actions, creating a searchable security incident repository</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Splunk SIEM with SPL correlation searches for brute‑force, lateral movement and privilege escalation detection, mapped TTPs to MITRE ATT&amp;CK framework and generated a PICERL incident report.</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Created Python automation that consumes Splunk alerts, enriches indicators using MITRE ATT&amp;CK knowledge base and outputs severity‑classified findings to a structured log file.</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Translated detection logic into Sigma rule format for cross‑platform use and captured packet traces with Wireshark to identify SYN scans, DNS tunnelling and clear‑text credential leakage, saving packet capture files.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Python pipeline that submits URLs and IPs to VirusTotal API and AbuseIPDB, enriches results with WHOIS registration data and sends summaries via Telegram bot.</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Python typosquatting detector that creates character‑substitution variants of brand domains, queries WHOIS records for each variant and logs potential impersonation entries.</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Telegram bot in Python allowing analysts to upload URLs or CSV lists, performs live IOC enrichment through VirusTotal API and AbuseIPDB, enriches with WHOIS data and returns results as downloadable CSV files.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27" w:after="27"/>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27" w:after="27"/>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27" w:after="27"/>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