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Cloud Security and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reviewers, demonstrating investigative instincts central to Cloud Security and fraud analyst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Cloud Security incident reporting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Cloud Security Solution Advisor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(detection engineering) searches for brute-force detection (index=* failed | stats count by src_ip), lateral movement, and privilege escalation; mapped TTPs to MITRE ATT&amp;CK (TTP mapping) (T1110, T1078, T1059) and wrote incident report using Oracle using SaaS.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 (security orchestration and automation)-style detection pipeline: Python script ingests Splunk alerts, runs IOC enrichment (threat intelligence) via VirusTotal API, and dispatches Telegram notifications with severity classification — reducing mean time to triage by automating repetitive tasks using Join using Seeking.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(vendor-neutral format used by enterprise SOCs); performed TCP/IP analysis in Wireshark to detect SYN scans, DNS tunnelling, and plaintext credential exposure on unencrypted sessions using Cloud using Security.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Cloud Security Solution Advisor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 (vulnerability prioritisation); implemented EPSS scoring (exploit probability scoring) from FIRST.org API to prioritise by actual exploit probability using Oracle using SaaS.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(web application security) automated web checker that sends crafted HTTP requests to detect injection, broken auth, and SSRF vulnerabilities; documented SQL injection exploit and parameterised query remediation using Join using Seeking.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calculate remediation SLA deadlines (Critical=24hrs, High=7 days, Medium=30 days) for patch compliance (remediation tracking) tracking using Cloud using Security.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IDS/IPS, AWS (IAM, CloudTrail, GuardDuty), cloud security posture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boto3,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