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case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compliance with review standards.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