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183"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41" w:after="41"/>
      </w:pPr>
    </w:p>
    <w:p w14:paraId="22436430" w14:textId="4A43ED2B" w:rsidR="00F85316" w:rsidRDefault="005868FF">
      <w:pPr>
        <w:pBdr>
          <w:bottom w:val="single" w:sz="6" w:space="1" w:color="000000"/>
        </w:pBdr>
        <w:spacing w:before="183"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Triaged 50+ weekly inventory reimbursement cases by severity and policy eligibility, applying risk-based triage discipline to prioritize high-risk cases for senior reviewer escalation.</w:t>
      </w:r>
    </w:p>
    <w:p w14:paraId="2386282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Investigated seller claims, identified policy violations and anomalous patterns through root cause analysis, and escalated findings to senior reviewers for timely decision-making.</w:t>
      </w:r>
    </w:p>
    <w:p w14:paraId="6CBFEBBC"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Risk and Regulatory Compliance Analyst at Woodside Energy India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Deployed Telegram bot interface enabling analysts to submit URLs for live IOC enrichment using Python, Telegram bot, and OSINT enrichment via theHarvester for domain profiling.</w:t>
      </w:r>
    </w:p>
    <w:p w14:paraId="50EFC0D0" w14:textId="77777777" w:rsidR="00F85316" w:rsidRDefault="00F85316">
      <w:pPr>
        <w:spacing w:before="41" w:after="41"/>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Risk and Regulatory Compliance Analyst at Woodside Energy India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65" w:after="65"/>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65" w:after="65"/>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65" w:after="65"/>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65" w:after="65"/>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65" w:after="65"/>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41" w:after="41"/>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83"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4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